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CD" w:rsidRPr="006E0DCD" w:rsidRDefault="006E0DCD" w:rsidP="006E0D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Приложение № 3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>района Омской области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6E0DCD" w:rsidRP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0DC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Омской области на 2020-2026</w:t>
      </w:r>
      <w:r w:rsidRPr="006E0DCD">
        <w:rPr>
          <w:rFonts w:ascii="Times New Roman" w:hAnsi="Times New Roman"/>
          <w:sz w:val="28"/>
          <w:szCs w:val="28"/>
        </w:rPr>
        <w:t xml:space="preserve"> годы</w:t>
      </w:r>
    </w:p>
    <w:p w:rsidR="006E0DCD" w:rsidRDefault="006E0DCD" w:rsidP="006E0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"Обеспечение безопасности населения в Любомировском сельском поселении"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7"/>
      </w:tblGrid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7C0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</w:t>
            </w:r>
            <w:r w:rsidR="007C013D">
              <w:rPr>
                <w:rFonts w:ascii="Times New Roman" w:hAnsi="Times New Roman"/>
                <w:sz w:val="28"/>
                <w:szCs w:val="28"/>
                <w:lang w:eastAsia="en-US"/>
              </w:rPr>
              <w:t>ого района Омской области на 2020-2026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"Обеспечение безопасности населения в Любомировском   сельском поселении"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исполнительно-распорядительного органа Любомировского сельского поселения Таврического муниципального района </w:t>
            </w: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Омской области, являющегося исполнителем основного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C013D" w:rsidP="00B90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2026</w:t>
            </w:r>
            <w:r w:rsidR="00745BB0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45BB0" w:rsidRPr="006535EB" w:rsidTr="00B90518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Защита жизни и здоровья </w:t>
            </w:r>
            <w:r w:rsidRPr="006535E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населения</w:t>
            </w:r>
            <w:r w:rsidRPr="006535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</w:p>
        </w:tc>
      </w:tr>
      <w:tr w:rsidR="00745BB0" w:rsidRPr="006535EB" w:rsidTr="00B90518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1.Обеспечение первичных мер пожарной безопасности;</w:t>
            </w:r>
          </w:p>
          <w:p w:rsidR="00745BB0" w:rsidRDefault="00745BB0" w:rsidP="00B90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2.Профилактика терроризма и экстремизма;</w:t>
            </w:r>
          </w:p>
          <w:p w:rsidR="00745BB0" w:rsidRPr="006535EB" w:rsidRDefault="00CB32D8" w:rsidP="00CB3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Обеспечение безопасности людей на водных объектах.</w:t>
            </w:r>
          </w:p>
        </w:tc>
      </w:tr>
      <w:tr w:rsidR="00745BB0" w:rsidRPr="006535EB" w:rsidTr="00B90518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первичных мер пожарной безопасности на территории Любомировского сельского поселения</w:t>
            </w:r>
          </w:p>
          <w:p w:rsidR="00745BB0" w:rsidRDefault="00745BB0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Защита населения и территорий от чрезвычайных ситуаций на территории  Любомировского сельского поселения</w:t>
            </w:r>
          </w:p>
          <w:p w:rsidR="004B666F" w:rsidRPr="006535EB" w:rsidRDefault="004B666F" w:rsidP="00B905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3. Содействие обеспечению безопасности людей в местах массового отдыха населения на водных объектах поселения.</w:t>
            </w:r>
          </w:p>
        </w:tc>
      </w:tr>
      <w:tr w:rsidR="00745BB0" w:rsidRPr="006535EB" w:rsidTr="00B90518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51"/>
            </w:tblGrid>
            <w:tr w:rsidR="00745BB0" w:rsidRPr="006535EB" w:rsidTr="00743CDD">
              <w:trPr>
                <w:trHeight w:val="416"/>
              </w:trPr>
              <w:tc>
                <w:tcPr>
                  <w:tcW w:w="555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BB0" w:rsidRPr="006535EB" w:rsidRDefault="00745BB0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Общие расходы муниципального бюджета составят</w:t>
                  </w:r>
                  <w:r w:rsidRPr="006535EB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:</w:t>
                  </w:r>
                  <w:r w:rsidR="00B81068"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  <w:t>2 272 415,98</w:t>
                  </w: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 в ценах соответствующих лет, в том числе: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2020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 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219 320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рублей;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328021,93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рублей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2022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 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345 014,81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рублей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2023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 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345 014,81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2024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345 014,81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745BB0" w:rsidRPr="006535EB" w:rsidRDefault="007C013D" w:rsidP="00B905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2025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345 014,81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745BB0" w:rsidRPr="006535EB" w:rsidRDefault="007C013D" w:rsidP="00B9051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- в 2026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году – </w:t>
                  </w:r>
                  <w:r w:rsidR="00B81068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345 014,81</w:t>
                  </w:r>
                  <w:r w:rsidR="00745BB0"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рублей</w:t>
                  </w:r>
                </w:p>
                <w:p w:rsidR="00745BB0" w:rsidRPr="006535EB" w:rsidRDefault="00745BB0" w:rsidP="00B9051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en-US"/>
                    </w:rPr>
                  </w:pPr>
                  <w:r w:rsidRPr="006535EB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Источниками финансирования подпрограммы являются налоговые и неналоговые доходы, поступления нецелевого и целевого характера</w:t>
                  </w:r>
                </w:p>
              </w:tc>
            </w:tr>
          </w:tbl>
          <w:p w:rsidR="00745BB0" w:rsidRPr="006535EB" w:rsidRDefault="00745BB0" w:rsidP="00B90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45BB0" w:rsidRPr="006535EB" w:rsidTr="00B9051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BB0" w:rsidRPr="006535EB" w:rsidRDefault="00745BB0" w:rsidP="00B905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Снижение числа пожаров на территории Любомировского  сельского поселения;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2020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2021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2022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2023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2024 году – 80%;</w:t>
            </w:r>
          </w:p>
          <w:p w:rsidR="00E77368" w:rsidRPr="00974015" w:rsidRDefault="00E77368" w:rsidP="00E773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2025 году – 75%;</w:t>
            </w:r>
          </w:p>
          <w:p w:rsidR="00745BB0" w:rsidRDefault="00E77368" w:rsidP="00E77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4015">
              <w:rPr>
                <w:rFonts w:ascii="Times New Roman" w:hAnsi="Times New Roman"/>
                <w:sz w:val="28"/>
                <w:szCs w:val="28"/>
              </w:rPr>
              <w:t>- в 2026 году – 75%;</w:t>
            </w:r>
          </w:p>
          <w:p w:rsidR="00A70BFB" w:rsidRPr="006535EB" w:rsidRDefault="00A70BFB" w:rsidP="00A7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4AE0" w:rsidRDefault="002B4AE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Подпрограмма  «Обеспечение безопасности населения в Любомировском сельском поселении» предусматривает повышение уровня безопасности населения Любомировского сельского поселения. Программа направлена на решение наиболее важных проблем в области пожарной безопасности, безопасности населения на водных объектах,  антитеррористической защищенности сельского поселения, путем обеспечения населения первичными средствами пожаротушения, распространения наглядной агитации.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целью устойчивого развития Любомировского сельского поселения 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Сельское поселение Любомировское включает в себя 4 населенных пунктов, население которых составляет 2</w:t>
      </w:r>
      <w:r w:rsidR="00061D66">
        <w:rPr>
          <w:rFonts w:ascii="Times New Roman" w:hAnsi="Times New Roman"/>
          <w:sz w:val="28"/>
          <w:szCs w:val="28"/>
        </w:rPr>
        <w:t>202</w:t>
      </w:r>
      <w:r w:rsidRPr="006535EB">
        <w:rPr>
          <w:rFonts w:ascii="Times New Roman" w:hAnsi="Times New Roman"/>
          <w:sz w:val="28"/>
          <w:szCs w:val="28"/>
        </w:rPr>
        <w:t xml:space="preserve"> человек. На сегодняшний день не все населенные пункты имеют противопожарные водные источники. Необходимо оборудование стендов по противопожарной безопасности, безопасности на водных объектах, распространение наглядной агитации.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 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Приобретение наглядной агитации в сфере безопасности на водных объектах способствует предотвращению гибели и травматизма людей.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Электрические сирены и ручные звуковые сигнальные устройства, установленные в населенных пунктах, позволят  своевременно оповещать население о возникновении чрезвычайных ситуаций. 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Целью подпрограммы является 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защита жизни и здоровья </w:t>
      </w:r>
      <w:r w:rsidRPr="006535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населения</w:t>
      </w:r>
      <w:r w:rsidRPr="006535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Любомировского сельского поселения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Цель подпрограммы достигается посредством решения 3 поставленных подпрограммой задач: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первичных мер пожарной безопасности (далее задача 1);</w:t>
      </w:r>
    </w:p>
    <w:p w:rsidR="00745BB0" w:rsidRPr="006535EB" w:rsidRDefault="00745BB0" w:rsidP="00745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- профилактика терроризма и экстремизма (далее задача 2);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eastAsia="Calibri" w:hAnsi="Times New Roman"/>
          <w:sz w:val="28"/>
          <w:szCs w:val="28"/>
        </w:rPr>
        <w:t>- обеспечение безопасности людей на водных объектах (далее задача 3).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5D090A">
        <w:rPr>
          <w:rFonts w:ascii="Times New Roman" w:hAnsi="Times New Roman"/>
          <w:sz w:val="28"/>
          <w:szCs w:val="28"/>
        </w:rPr>
        <w:t>тоящей подпрограммы составляет 7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</w:t>
      </w:r>
      <w:r w:rsidR="005D090A">
        <w:rPr>
          <w:rFonts w:ascii="Times New Roman" w:hAnsi="Times New Roman"/>
          <w:sz w:val="28"/>
          <w:szCs w:val="28"/>
        </w:rPr>
        <w:t xml:space="preserve"> период 2020 – 2026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«Обеспечение первичных мер пожарной безопасности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объектов первичными средствами пожаротушения, пожарными инструментами, инвентарём.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«Защита населения и территорий от чрезвычайных ситуаций на территории Любомировского сельского поселения».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3. Задаче 3 подпрограммы соответствует основное мероприятие «Содействие обеспечению безопасности людей в местах массового отдыха населения на водных объектах Любомировского сельского поселения» Это мероприятие предусматривает реализацию следующего комплекса мероприятий: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"Обеспечение первичных мер пожарной безопасности на территории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Огнезащитная обработка деревянных конструкций;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-Обеспечение объектов первичными средствами пожаротушения, пожарными инструментами, инвентарём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35E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color w:val="000000"/>
          <w:sz w:val="28"/>
          <w:szCs w:val="28"/>
        </w:rPr>
        <w:t xml:space="preserve">доля населения, прошедшего обучение мерам пожарной безопасности и правилам поведения в случае возникновения пожара;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общая доля населения, прошедшего  обучение по пожарной безопасности в отчетном году по отношению к общей численности населения Любомировского  СП в отчетном году, в  процентах.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"Защита населения и территорий от чрезвычайных ситуаций на территории Любомировского 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Мероприятия по недопущению чрезвычайных ситуаций на территории  Любомировского  сельского поселения;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Обеспечение наглядной и агитационной литературой, листовками.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535EB">
        <w:rPr>
          <w:rFonts w:ascii="Times New Roman" w:hAnsi="Times New Roman"/>
          <w:i/>
          <w:sz w:val="28"/>
          <w:szCs w:val="28"/>
        </w:rPr>
        <w:t xml:space="preserve">- количество проведенных мероприятий, направленных на недопущение чрезвычайных ситуаций; </w:t>
      </w:r>
    </w:p>
    <w:p w:rsidR="00745BB0" w:rsidRPr="006535EB" w:rsidRDefault="00745BB0" w:rsidP="00745B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мероприятий, направленных на недопущение чрезвычайных ситуаций в отчетном году по отношению к количеству проведенных мероприятий, направленных на недопущение чрезвычайных ситуаций за год предшествующий отчетному, в процентах. 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проводимого специалистами Администрации  Любомировского  СП.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6535EB">
        <w:rPr>
          <w:rFonts w:ascii="Times New Roman" w:hAnsi="Times New Roman"/>
          <w:b/>
          <w:i/>
          <w:sz w:val="28"/>
          <w:szCs w:val="28"/>
        </w:rPr>
        <w:t>"Содействие обеспечению безопасности людей в местах массового отдыха населения на водных объектах Любомировского сельского поселения"</w:t>
      </w:r>
      <w:r w:rsidRPr="006535EB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745BB0" w:rsidRPr="006535EB" w:rsidRDefault="00745BB0" w:rsidP="00745B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Установка и обновление наглядной агитации на водоёмах поселения о запрете купания;</w:t>
      </w:r>
    </w:p>
    <w:p w:rsidR="00745BB0" w:rsidRPr="006535EB" w:rsidRDefault="00745BB0" w:rsidP="0074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>- Информирование населения с использованием СМИ о чрезвычайных ситуациях на водных объектах.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 </w:t>
      </w:r>
      <w:r w:rsidRPr="006535EB">
        <w:rPr>
          <w:rFonts w:ascii="Times New Roman" w:hAnsi="Times New Roman"/>
          <w:i/>
          <w:sz w:val="28"/>
          <w:szCs w:val="28"/>
        </w:rPr>
        <w:t>снижение количества происшествий на водных объектах, расположенных на территории  Любомировского  сельского поселения.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происшествий на водных объектах, расположенных на территории </w:t>
      </w:r>
      <w:r w:rsidRPr="006535EB">
        <w:rPr>
          <w:rFonts w:ascii="Times New Roman" w:hAnsi="Times New Roman"/>
          <w:sz w:val="28"/>
          <w:szCs w:val="28"/>
        </w:rPr>
        <w:lastRenderedPageBreak/>
        <w:t>Любомировского сельского поселения в отчетном году по отношению к количеству происшествий на водных объектах, расположенных на территории Любомировского сельского поселения за год, предшествующий отчетному, в процентах. При расчете значения целевого индикатора используются статистические данные.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</w:t>
      </w:r>
      <w:r w:rsidR="00C879A5">
        <w:rPr>
          <w:rFonts w:ascii="Times New Roman" w:hAnsi="Times New Roman"/>
          <w:b/>
          <w:sz w:val="28"/>
          <w:szCs w:val="28"/>
          <w:lang w:eastAsia="en-US"/>
        </w:rPr>
        <w:t xml:space="preserve">2 272 415,98 </w:t>
      </w:r>
      <w:r w:rsidRPr="006535EB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745BB0" w:rsidRPr="006535EB" w:rsidRDefault="00745BB0" w:rsidP="00745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2020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 2</w:t>
      </w:r>
      <w:r>
        <w:rPr>
          <w:rFonts w:ascii="Times New Roman" w:hAnsi="Times New Roman"/>
          <w:sz w:val="28"/>
          <w:szCs w:val="28"/>
          <w:lang w:eastAsia="en-US"/>
        </w:rPr>
        <w:t>219 320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рублей;</w:t>
      </w: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328021,93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рублей</w:t>
      </w: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2022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en-US"/>
        </w:rPr>
        <w:t>345 014,81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2023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en-US"/>
        </w:rPr>
        <w:t>345 014,81</w:t>
      </w:r>
      <w:r w:rsidRPr="006535EB">
        <w:rPr>
          <w:rFonts w:ascii="Times New Roman" w:hAnsi="Times New Roman"/>
          <w:sz w:val="28"/>
          <w:szCs w:val="28"/>
          <w:lang w:eastAsia="en-US"/>
        </w:rPr>
        <w:t>рублей</w:t>
      </w: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2024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345 014,81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C879A5" w:rsidRPr="006535EB" w:rsidRDefault="00C879A5" w:rsidP="00C879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2025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345 014,81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C879A5" w:rsidRPr="006535EB" w:rsidRDefault="00C879A5" w:rsidP="00C879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2026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en-US"/>
        </w:rPr>
        <w:t>345 014,81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5D090A" w:rsidRPr="006535EB" w:rsidRDefault="005D090A" w:rsidP="005D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подпрограммы в разрезе источников финансирования представлено в </w:t>
      </w:r>
      <w:hyperlink r:id="rId5" w:history="1">
        <w:r w:rsidRPr="006535EB">
          <w:rPr>
            <w:rFonts w:ascii="Times New Roman" w:hAnsi="Times New Roman"/>
            <w:color w:val="0000FF"/>
            <w:sz w:val="28"/>
            <w:szCs w:val="28"/>
            <w:u w:val="single"/>
          </w:rPr>
          <w:t>приложении</w:t>
        </w:r>
      </w:hyperlink>
      <w:r w:rsidRPr="006535EB">
        <w:rPr>
          <w:rFonts w:ascii="Times New Roman" w:hAnsi="Times New Roman"/>
          <w:sz w:val="28"/>
          <w:szCs w:val="28"/>
        </w:rPr>
        <w:t xml:space="preserve"> № 7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сельского поселения Таврического муниципально</w:t>
      </w:r>
      <w:r w:rsidR="005D090A">
        <w:rPr>
          <w:rFonts w:ascii="Times New Roman" w:hAnsi="Times New Roman"/>
          <w:sz w:val="28"/>
          <w:szCs w:val="28"/>
        </w:rPr>
        <w:t>го района Омской области на 2020-2026</w:t>
      </w:r>
      <w:r w:rsidRPr="006535EB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745BB0" w:rsidRPr="006535EB" w:rsidRDefault="00745BB0" w:rsidP="00745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Снижение числа пожаров на территории Любомировского сельского поселения.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</w:t>
      </w:r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r w:rsidRPr="006535EB">
        <w:rPr>
          <w:rFonts w:ascii="Times New Roman" w:hAnsi="Times New Roman"/>
          <w:sz w:val="28"/>
          <w:szCs w:val="28"/>
        </w:rPr>
        <w:t>=А/В*100%,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где О</w:t>
      </w:r>
      <w:r w:rsidRPr="006535EB">
        <w:rPr>
          <w:rFonts w:ascii="Times New Roman" w:hAnsi="Times New Roman"/>
          <w:sz w:val="28"/>
          <w:szCs w:val="28"/>
          <w:vertAlign w:val="subscript"/>
        </w:rPr>
        <w:t>1</w:t>
      </w:r>
      <w:r w:rsidRPr="006535EB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количество пожаров на территории Любомировского СП в отчетном году;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– количество пожаров на территории Любомировского СП за год предшествующий отчетному.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Значение исходных данных для расчета ожидаемого результата определяются на основе статистических данных.  </w:t>
      </w: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5BB0" w:rsidRPr="006535EB" w:rsidRDefault="00745BB0" w:rsidP="00745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BB0" w:rsidRPr="006535EB" w:rsidRDefault="00745BB0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45BB0" w:rsidRPr="006535EB" w:rsidRDefault="00745BB0" w:rsidP="00745B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42C8" w:rsidRDefault="002B42C8" w:rsidP="00745BB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2B42C8" w:rsidSect="006E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3CE"/>
    <w:multiLevelType w:val="hybridMultilevel"/>
    <w:tmpl w:val="4ABA49E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59C5"/>
    <w:rsid w:val="00061D66"/>
    <w:rsid w:val="00183133"/>
    <w:rsid w:val="001C1FE6"/>
    <w:rsid w:val="002B42C8"/>
    <w:rsid w:val="002B4AE0"/>
    <w:rsid w:val="004B666F"/>
    <w:rsid w:val="00526532"/>
    <w:rsid w:val="005D090A"/>
    <w:rsid w:val="006959C5"/>
    <w:rsid w:val="006E0DCD"/>
    <w:rsid w:val="006E3103"/>
    <w:rsid w:val="00743CDD"/>
    <w:rsid w:val="00745BB0"/>
    <w:rsid w:val="00790823"/>
    <w:rsid w:val="007C013D"/>
    <w:rsid w:val="00A70BFB"/>
    <w:rsid w:val="00B81068"/>
    <w:rsid w:val="00C879A5"/>
    <w:rsid w:val="00CB32D8"/>
    <w:rsid w:val="00DD1C62"/>
    <w:rsid w:val="00E77368"/>
    <w:rsid w:val="00F6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9C5"/>
  </w:style>
  <w:style w:type="paragraph" w:styleId="a3">
    <w:name w:val="Balloon Text"/>
    <w:basedOn w:val="a"/>
    <w:link w:val="a4"/>
    <w:uiPriority w:val="99"/>
    <w:semiHidden/>
    <w:unhideWhenUsed/>
    <w:rsid w:val="002B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9C5"/>
  </w:style>
  <w:style w:type="paragraph" w:styleId="a3">
    <w:name w:val="Balloon Text"/>
    <w:basedOn w:val="a"/>
    <w:link w:val="a4"/>
    <w:uiPriority w:val="99"/>
    <w:semiHidden/>
    <w:unhideWhenUsed/>
    <w:rsid w:val="002B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25</cp:revision>
  <cp:lastPrinted>2019-10-29T10:06:00Z</cp:lastPrinted>
  <dcterms:created xsi:type="dcterms:W3CDTF">2019-10-15T05:46:00Z</dcterms:created>
  <dcterms:modified xsi:type="dcterms:W3CDTF">2019-11-11T12:19:00Z</dcterms:modified>
</cp:coreProperties>
</file>